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0E30EE1D" w:rsidR="00A97A10" w:rsidRPr="00385B43" w:rsidRDefault="0037667F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37667F">
              <w:rPr>
                <w:rFonts w:ascii="Arial Narrow" w:hAnsi="Arial Narrow"/>
                <w:bCs/>
                <w:sz w:val="18"/>
                <w:szCs w:val="18"/>
              </w:rPr>
              <w:t>Miestna akčná skupina Strážovské vrchy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426281" w:rsidRDefault="00A97A10" w:rsidP="00B4260D">
            <w:pPr>
              <w:rPr>
                <w:rFonts w:ascii="Arial Narrow" w:hAnsi="Arial Narrow"/>
                <w:i/>
              </w:rPr>
            </w:pPr>
            <w:r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426281" w:rsidRDefault="000F3A18" w:rsidP="00A97A10">
            <w:pPr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>ŽoP</w:t>
            </w:r>
            <w:r w:rsidR="00A97A10"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>r</w:t>
            </w:r>
            <w:proofErr w:type="spellEnd"/>
            <w:r w:rsidRPr="00426281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7D0FAE63" w:rsidR="00A97A10" w:rsidRPr="00385B43" w:rsidRDefault="0037667F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37667F">
              <w:rPr>
                <w:rFonts w:ascii="Arial Narrow" w:hAnsi="Arial Narrow"/>
                <w:bCs/>
                <w:sz w:val="18"/>
                <w:szCs w:val="18"/>
              </w:rPr>
              <w:t>IROP-CLLD-X375-512-003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5DA207E5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33811338" w14:textId="79CB1C30" w:rsidR="00335488" w:rsidRDefault="00335488" w:rsidP="00231C62">
      <w:pPr>
        <w:rPr>
          <w:rFonts w:ascii="Arial Narrow" w:hAnsi="Arial Narrow"/>
          <w:bCs/>
          <w:sz w:val="18"/>
          <w:szCs w:val="18"/>
          <w:highlight w:val="yellow"/>
        </w:rPr>
      </w:pPr>
    </w:p>
    <w:p w14:paraId="627B6FD7" w14:textId="77777777" w:rsidR="00080112" w:rsidRPr="00335488" w:rsidRDefault="00080112" w:rsidP="00080112">
      <w:pPr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  <w:t xml:space="preserve">Inštrukcia pre žiadateľov: </w:t>
      </w:r>
    </w:p>
    <w:p w14:paraId="347E883D" w14:textId="77777777" w:rsidR="00080112" w:rsidRPr="00335488" w:rsidRDefault="00080112" w:rsidP="00080112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Žiadateľ pri vypĺňaní údajov v žiadosti o poskytnutie príspevku vymazáva inštrukcie, ktoré upresňujú spôsob alebo rozsah vyplnenia niektorých častí. </w:t>
      </w:r>
      <w:r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>Žiadateľ pri predkladaní žiadosti o poskytnutie príspevku odstraňuje aj túto inštrukciu.</w:t>
      </w:r>
    </w:p>
    <w:p w14:paraId="753D4CAC" w14:textId="77777777" w:rsidR="00080112" w:rsidRDefault="00080112" w:rsidP="00080112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 Žiadateľ môže ponechať inštrukcie v časti 7. ako pomôcku pre overenie, či sa vyjadril k všetkým požadovaným náležitostiam.</w:t>
      </w: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162D91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50DBF24F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1E6B0D23" w14:textId="2E51E47A" w:rsidR="00D92637" w:rsidRPr="0037667F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7667F">
              <w:rPr>
                <w:rFonts w:ascii="Arial Narrow" w:hAnsi="Arial Narrow"/>
                <w:sz w:val="18"/>
                <w:szCs w:val="18"/>
              </w:rPr>
              <w:t>D2 Skvalitnenie a rozšírenie kapacít predškolských zariadení</w:t>
            </w:r>
          </w:p>
          <w:p w14:paraId="679E5965" w14:textId="50CC2A9A" w:rsidR="00CD0FA6" w:rsidRPr="00385B43" w:rsidRDefault="00CD0FA6" w:rsidP="0037667F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45C26240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08E243EB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19865970" w14:textId="77777777" w:rsidR="00E0609C" w:rsidRDefault="00E0609C" w:rsidP="00210E9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0B9FC9" w14:textId="77777777" w:rsidR="00204EA5" w:rsidRDefault="00204EA5" w:rsidP="00210E9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204EA5">
              <w:rPr>
                <w:rFonts w:ascii="Arial Narrow" w:hAnsi="Arial Narrow"/>
                <w:bCs/>
                <w:sz w:val="18"/>
                <w:szCs w:val="18"/>
              </w:rPr>
              <w:t>Žiadateľ je povinný ukončiť práce na projekte do 9 mesiacov od nadobudnutia účinnosti zmluvy o poskytnutí príspevku. Zároveň je žiadateľ povinný zrealizovať hlavnú aktivitu projektu najneskôr do 30.6.2023.</w:t>
            </w:r>
          </w:p>
          <w:p w14:paraId="18C3226D" w14:textId="4717685D" w:rsidR="00E0609C" w:rsidRPr="00385B43" w:rsidRDefault="00E0609C" w:rsidP="00210E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DB11A" w14:textId="0BE54838" w:rsidR="00993330" w:rsidRPr="00385B43" w:rsidRDefault="00993330" w:rsidP="00EE0CBE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7204E9DC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 w:rsidR="0037667F">
              <w:rPr>
                <w:rFonts w:ascii="Arial Narrow" w:hAnsi="Arial Narrow"/>
                <w:sz w:val="18"/>
                <w:szCs w:val="18"/>
              </w:rPr>
              <w:t>„Nerelevantné pre túto výzvu“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49526A70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37667F">
                  <w:rPr>
                    <w:rFonts w:ascii="Arial" w:hAnsi="Arial" w:cs="Arial"/>
                    <w:sz w:val="22"/>
                  </w:rPr>
                  <w:t>D2 Skvalitnenie a rozšírenie kapacít predškolských zariadení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55E7B5EA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879C1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37667F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57B4C874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D201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7D8D4A34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Počet podporených materských škôl 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1FAD9659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Počet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46E8095B" w:rsidR="0037667F" w:rsidRPr="00385B43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144C8341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bez príznaku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73C0E9C1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37667F" w:rsidRPr="00385B43" w14:paraId="0AA7B04D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0502CFA8" w14:textId="4AD47EF5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D202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7E51DEC" w14:textId="551761EE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podporených materských škôl materiálno-technickým vybavením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BB9C1ED" w14:textId="7D14DAFF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05156BE" w14:textId="24226C4A" w:rsidR="0037667F" w:rsidRPr="00385B43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B79B952" w14:textId="57A10BE7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7C77A33" w14:textId="58527F86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37667F" w:rsidRPr="00385B43" w14:paraId="62074722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41CC2C07" w14:textId="6FF31304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D203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0C1EE12" w14:textId="5B2D6A67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podporených areálov MŠ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AD70719" w14:textId="7857C542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6382CC3" w14:textId="5A377EFE" w:rsidR="0037667F" w:rsidRPr="00385B43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141A1726" w14:textId="1E0FC698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7F6CC45" w14:textId="5E427368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UR,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37667F" w:rsidRPr="00385B43" w14:paraId="4535FDC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30E0214E" w14:textId="365253D8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D204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16A6F0D" w14:textId="0F675100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Kapacita podporenej školskej infraštruktúry materských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B3304AA" w14:textId="099B2413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Dieťa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F46B76A" w14:textId="1FC3B3C9" w:rsidR="0037667F" w:rsidRPr="00385B43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16F72631" w14:textId="31D4F96A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280E09F" w14:textId="527137B7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UR,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37667F" w:rsidRPr="00385B43" w14:paraId="19669AAD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4EA64A43" w14:textId="5C734A02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D205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C7BDAEF" w14:textId="4DEB2975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Zvýšená kapacita podporenej školskej infraštruktúry materských škôl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168AE090" w14:textId="51A25B93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Dieťa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8D5B0B4" w14:textId="5C9FE9B9" w:rsidR="0037667F" w:rsidRPr="00385B43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8E8D2AA" w14:textId="7DD63771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6E6A577" w14:textId="1E19F711" w:rsidR="0037667F" w:rsidRPr="007D6358" w:rsidRDefault="0037667F" w:rsidP="0037667F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UR,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895D5B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895D5B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895D5B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895D5B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895D5B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895D5B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895D5B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895D5B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162D91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6FFF2E16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</w:t>
            </w:r>
            <w:r w:rsidR="00C72B58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vyberie z preddefinovaného číselníka príslušný postup (postup obstarávania je potrebné uvádzať v súlade s právnou úpravou zákona, ktorá bola platná v čase začatia VO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>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162D9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162D91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7A62C4AF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2230D18C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4EACF1F4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3D136D63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</w:t>
            </w:r>
            <w:r w:rsidR="007C1E56">
              <w:rPr>
                <w:rFonts w:ascii="Arial Narrow" w:eastAsia="Calibri" w:hAnsi="Arial Narrow"/>
                <w:sz w:val="18"/>
                <w:szCs w:val="18"/>
              </w:rPr>
              <w:t>ov</w:t>
            </w:r>
            <w:r>
              <w:rPr>
                <w:rFonts w:ascii="Arial Narrow" w:eastAsia="Calibri" w:hAnsi="Arial Narrow"/>
                <w:sz w:val="18"/>
                <w:szCs w:val="18"/>
              </w:rPr>
              <w:t>atívnosti projektu – spôsobu realizácie hlavnej aktivity projektu,</w:t>
            </w:r>
          </w:p>
          <w:p w14:paraId="4C6F8CB6" w14:textId="52B64100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preukázanie, či projekt a jeho realizácia zohľadňuje miestne špecifiká (charakteristický ráz územia, kultúrny a historický ráz územia, miestne zvyky, gastronómia, miestna architektúra a pod.,</w:t>
            </w:r>
          </w:p>
          <w:p w14:paraId="1D806454" w14:textId="09FD5156" w:rsidR="008C79D4" w:rsidRPr="008C79D4" w:rsidRDefault="008A2FD8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8C79D4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8C79D4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26B9EADA" w14:textId="77777777" w:rsidR="008A2FD8" w:rsidRPr="00385B43" w:rsidRDefault="008A2FD8" w:rsidP="00F13DF8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CE5497" w14:textId="3623EF1B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5625F6D4" w14:textId="050E8969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vplyv projektu na širšie územie MAS – žiadateľ deklaruje aký presah má realizácia projektu z hľadiska územia, </w:t>
            </w:r>
            <w:proofErr w:type="spellStart"/>
            <w:r>
              <w:rPr>
                <w:rFonts w:ascii="Arial Narrow" w:eastAsia="Calibri" w:hAnsi="Arial Narrow"/>
                <w:sz w:val="18"/>
                <w:szCs w:val="18"/>
              </w:rPr>
              <w:t>t.j</w:t>
            </w:r>
            <w:proofErr w:type="spellEnd"/>
            <w:r>
              <w:rPr>
                <w:rFonts w:ascii="Arial Narrow" w:eastAsia="Calibri" w:hAnsi="Arial Narrow"/>
                <w:sz w:val="18"/>
                <w:szCs w:val="18"/>
              </w:rPr>
              <w:t>. koľkých obcí v MAS sa realizácia projektu dotkne,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28FCC7FD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hlavn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ej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aktiv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i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t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y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5A087CD0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491028A" w:rsidR="008A2FD8" w:rsidRPr="00385B43" w:rsidRDefault="007E493D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7E493D">
              <w:rPr>
                <w:rFonts w:ascii="Arial Narrow" w:eastAsia="Calibri" w:hAnsi="Arial Narrow"/>
                <w:sz w:val="18"/>
                <w:szCs w:val="18"/>
              </w:rPr>
              <w:t xml:space="preserve">popis možných rizík v súvislosti s udržateľnosťou projektu a popis manažmentu rizík udržateľnosti projektu (identifikovanie rizík, popis prostriedkov na ich elimináciu).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348609B" w14:textId="1BB8E237" w:rsidR="00F13DF8" w:rsidRPr="00F54184" w:rsidRDefault="00F74163" w:rsidP="00F54184">
            <w:pPr>
              <w:pStyle w:val="Odsekzoznamu"/>
              <w:numPr>
                <w:ilvl w:val="0"/>
                <w:numId w:val="28"/>
              </w:numPr>
              <w:ind w:left="464" w:hanging="398"/>
              <w:rPr>
                <w:rFonts w:ascii="Arial Narrow" w:hAnsi="Arial Narrow"/>
                <w:sz w:val="18"/>
                <w:szCs w:val="18"/>
              </w:rPr>
            </w:pPr>
            <w:r w:rsidRPr="00F54184"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lastRenderedPageBreak/>
              <w:t>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15425BD7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9D91FC" w14:textId="3747784D" w:rsidR="00402A70" w:rsidRDefault="00385B43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</w:t>
            </w:r>
            <w:r w:rsidR="00E0609C">
              <w:rPr>
                <w:rFonts w:ascii="Arial Narrow" w:hAnsi="Arial Narrow"/>
                <w:sz w:val="18"/>
                <w:szCs w:val="18"/>
              </w:rPr>
              <w:t>hodnoty v súlade s </w:t>
            </w:r>
            <w:r w:rsidR="00E0609C" w:rsidRPr="00385B43">
              <w:rPr>
                <w:rFonts w:ascii="Arial Narrow" w:hAnsi="Arial Narrow"/>
                <w:sz w:val="18"/>
                <w:szCs w:val="18"/>
              </w:rPr>
              <w:t>rozpočt</w:t>
            </w:r>
            <w:r w:rsidR="00E0609C">
              <w:rPr>
                <w:rFonts w:ascii="Arial Narrow" w:hAnsi="Arial Narrow"/>
                <w:sz w:val="18"/>
                <w:szCs w:val="18"/>
              </w:rPr>
              <w:t xml:space="preserve">om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16FCEF29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414325D" w14:textId="236A9F82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4C7616B7" w14:textId="79FF206E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Celkové oprávnené výdavky:</w:t>
            </w:r>
          </w:p>
          <w:p w14:paraId="791DD88B" w14:textId="56CCF9AC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</w:p>
          <w:p w14:paraId="12188C05" w14:textId="2E5A233D" w:rsid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Miera príspevku z celkových oprávnených výdavkov (%)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53069D3F" w14:textId="77777777" w:rsidR="00E0609C" w:rsidRPr="00E0609C" w:rsidRDefault="00E0609C" w:rsidP="00385B43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</w:p>
          <w:p w14:paraId="21DA42AB" w14:textId="77777777" w:rsidR="00E0609C" w:rsidRPr="00E0609C" w:rsidRDefault="00E0609C" w:rsidP="00E0609C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  <w:r w:rsidRPr="00E0609C">
              <w:rPr>
                <w:rFonts w:ascii="Arial Narrow" w:hAnsi="Arial Narrow"/>
                <w:b/>
                <w:sz w:val="22"/>
                <w:szCs w:val="18"/>
              </w:rPr>
              <w:t>Žiadaná výška príspevku:</w:t>
            </w:r>
          </w:p>
          <w:p w14:paraId="75FA76FD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61086D4" w14:textId="764545F6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Výška spolufinancovania oprávnených výdavkov žiadateľom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16E10B46" w14:textId="5E02374E" w:rsidR="00E0609C" w:rsidRPr="00385B43" w:rsidRDefault="00E0609C" w:rsidP="00385B43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0472B6D0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14:paraId="0F9DFFFF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2A29511F" w14:textId="2DCA0F1D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33749CF2" w14:textId="77777777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14:paraId="0E19D21B" w14:textId="4CF2A2E7" w:rsidR="00C0655E" w:rsidRPr="00385B43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F54184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13606012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3917F950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4928E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F54184">
              <w:rPr>
                <w:rFonts w:ascii="Arial Narrow" w:hAnsi="Arial Narrow"/>
                <w:sz w:val="18"/>
                <w:szCs w:val="18"/>
              </w:rPr>
              <w:t>2</w:t>
            </w:r>
            <w:r w:rsidRPr="004928E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928E9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4928E9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4928E9">
              <w:rPr>
                <w:rFonts w:ascii="Arial Narrow" w:hAnsi="Arial Narrow"/>
                <w:sz w:val="18"/>
                <w:szCs w:val="18"/>
              </w:rPr>
              <w:t> </w:t>
            </w:r>
            <w:r w:rsidRPr="004928E9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3FDC0AD3" w:rsidR="00862AC5" w:rsidRPr="00385B43" w:rsidRDefault="006C343B" w:rsidP="00BA5D1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3DF1FB32" w:rsidR="00C9153F" w:rsidRPr="00A15580" w:rsidRDefault="00C0655E" w:rsidP="00A15580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F54184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4E529543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4AF6728A" w14:textId="61BA08BC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obce) </w:t>
            </w:r>
          </w:p>
        </w:tc>
        <w:tc>
          <w:tcPr>
            <w:tcW w:w="7405" w:type="dxa"/>
            <w:vAlign w:val="center"/>
          </w:tcPr>
          <w:p w14:paraId="6B9500F5" w14:textId="20C0A196" w:rsidR="00C0655E" w:rsidRPr="00385B43" w:rsidRDefault="00C0655E" w:rsidP="00201F9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7F008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Uznesenie, resp. výpis z uznesenia o schválení programu rozvoja a príslušnej územnoplánovacej dokumentácie (ak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relevantné, </w:t>
            </w:r>
            <w:proofErr w:type="spellStart"/>
            <w:r w:rsidR="00C5470C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. ak </w:t>
            </w:r>
            <w:r w:rsid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061415C2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6A76B7A0" w:rsidR="00C0655E" w:rsidRPr="00385B43" w:rsidRDefault="00C0655E" w:rsidP="00CD6E91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 xml:space="preserve">5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790FDF33" w:rsidR="008A0977" w:rsidRPr="007F0085" w:rsidRDefault="00CE155D" w:rsidP="007F008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24FA66A3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>6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5B52CD5B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 xml:space="preserve">6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3646070A" w14:textId="2F0776E3" w:rsidR="00CE155D" w:rsidRPr="007F0085" w:rsidRDefault="00C41525" w:rsidP="007F008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Ukazovatele </w:t>
            </w:r>
            <w:r w:rsidR="009F609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6A76AE0A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1C013AA9" w:rsidR="006E13CA" w:rsidRPr="00385B43" w:rsidRDefault="006E13CA" w:rsidP="007C1E56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114A4113" w:rsidR="006E13CA" w:rsidRPr="00385B43" w:rsidRDefault="006E13CA" w:rsidP="00A56BEC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5B516AF7" w14:textId="01018940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 xml:space="preserve">8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653DDCBE"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>9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248B859D" w:rsidR="00CE155D" w:rsidRPr="00385B43" w:rsidRDefault="00CE155D" w:rsidP="00A56BEC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1AB04886" w14:textId="325290D8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>10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0E37F7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25B38E64" w:rsidR="00CE155D" w:rsidRPr="00385B43" w:rsidRDefault="006B5BCA" w:rsidP="00535AFF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7F0085">
              <w:rPr>
                <w:rFonts w:ascii="Arial Narrow" w:hAnsi="Arial Narrow"/>
                <w:sz w:val="18"/>
                <w:szCs w:val="18"/>
              </w:rPr>
              <w:t>15</w:t>
            </w:r>
            <w:r w:rsidR="006B1070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012476D7" w14:textId="30F0AC05" w:rsidR="0036507C" w:rsidRPr="00385B43" w:rsidRDefault="007F0085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6507C" w:rsidRPr="007F0085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4928E9">
        <w:trPr>
          <w:trHeight w:val="122"/>
        </w:trPr>
        <w:tc>
          <w:tcPr>
            <w:tcW w:w="7054" w:type="dxa"/>
            <w:vAlign w:val="center"/>
          </w:tcPr>
          <w:p w14:paraId="6B9808DB" w14:textId="328C71D0" w:rsidR="00D53FAB" w:rsidRPr="00CD4ABE" w:rsidRDefault="00D53FAB" w:rsidP="00A56BEC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429899D7" w14:textId="4B478155" w:rsidR="00D53FAB" w:rsidRDefault="00D53FAB" w:rsidP="004928E9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>11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50F7194B" w:rsidR="00CD4ABE" w:rsidRPr="00385B43" w:rsidRDefault="00CD4ABE" w:rsidP="00A56BEC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116E56DA" w14:textId="4BD7486E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F0085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340BE923" w14:textId="77777777" w:rsidR="00ED7925" w:rsidRPr="00385B43" w:rsidRDefault="00ED7925">
      <w:pPr>
        <w:rPr>
          <w:rFonts w:ascii="Arial Narrow" w:hAnsi="Arial Narrow"/>
        </w:rPr>
        <w:sectPr w:rsidR="00ED7925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32923F31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prevádzku projektu po ukončení jeho realizácie a pokrytie ostatných nákladov za účelom zabezpečenia udržateľnosti projektu počas obdobia minimálne 5 rokov od ukončenia realizácie projektu</w:t>
            </w:r>
          </w:p>
          <w:p w14:paraId="0DF05DF5" w14:textId="4E131DBB" w:rsidR="006A3CC2" w:rsidRPr="00650C15" w:rsidRDefault="006A3CC2" w:rsidP="00650C1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</w:t>
            </w:r>
            <w:r w:rsidR="0040496B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príspevku</w:t>
            </w:r>
            <w:r w:rsidR="0040496B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650C15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20929BA0" w14:textId="518E4970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0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bookmarkEnd w:id="0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. </w:t>
            </w:r>
          </w:p>
          <w:p w14:paraId="4F3232D7" w14:textId="1FBEF024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1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1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sú zverejnené na webovom sídle: ............... </w:t>
            </w:r>
          </w:p>
          <w:p w14:paraId="2CC9DE41" w14:textId="5468C6A7"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50C15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2618183" w14:textId="5299DFAA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</w:t>
            </w:r>
            <w:r w:rsidR="001F63D9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FCFB718" w14:textId="6208B3B7" w:rsidR="00704D30" w:rsidRPr="00204EA5" w:rsidRDefault="0041126F" w:rsidP="00AC4A1D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b/>
                <w:color w:val="000000"/>
                <w:szCs w:val="24"/>
              </w:rPr>
            </w:pPr>
            <w:r w:rsidRPr="00AC4A1D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650C1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AC4A1D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650C15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68688B41" w14:textId="5F413169" w:rsidR="004E46B3" w:rsidRPr="00777DE8" w:rsidRDefault="000D78D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zachovám charakter projektu v zmysle podmienok stanovených vo výzve, 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</w:r>
            <w:r w:rsidR="00650C15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 w:rsidR="00F35341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F35341"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06AF348F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o všetkých zmenách, ktoré sa týkajú uvedených údajov a skutočností. Súhlasím so správou, spracovaním a uchovávaním všetkých uvedených osobných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>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3144A" w14:textId="77777777" w:rsidR="00162D91" w:rsidRDefault="00162D91" w:rsidP="00297396">
      <w:pPr>
        <w:spacing w:after="0" w:line="240" w:lineRule="auto"/>
      </w:pPr>
      <w:r>
        <w:separator/>
      </w:r>
    </w:p>
  </w:endnote>
  <w:endnote w:type="continuationSeparator" w:id="0">
    <w:p w14:paraId="119DDA98" w14:textId="77777777" w:rsidR="00162D91" w:rsidRDefault="00162D91" w:rsidP="00297396">
      <w:pPr>
        <w:spacing w:after="0" w:line="240" w:lineRule="auto"/>
      </w:pPr>
      <w:r>
        <w:continuationSeparator/>
      </w:r>
    </w:p>
  </w:endnote>
  <w:endnote w:type="continuationNotice" w:id="1">
    <w:p w14:paraId="41BDE6AE" w14:textId="77777777" w:rsidR="00162D91" w:rsidRDefault="00162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3D72" w14:textId="036B8897" w:rsidR="0037667F" w:rsidRPr="00016F1C" w:rsidRDefault="0037667F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45D29F85" w:rsidR="0037667F" w:rsidRPr="001A4E70" w:rsidRDefault="0037667F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43667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7F6F" w14:textId="68828A2E" w:rsidR="0037667F" w:rsidRDefault="0037667F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065413D9" w:rsidR="0037667F" w:rsidRPr="001A4E70" w:rsidRDefault="0037667F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43667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86CD" w14:textId="77777777" w:rsidR="0037667F" w:rsidRDefault="0037667F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27A56050" w:rsidR="0037667F" w:rsidRPr="00B13A79" w:rsidRDefault="0037667F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43667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D691" w14:textId="77777777" w:rsidR="0037667F" w:rsidRDefault="0037667F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3C554230" w:rsidR="0037667F" w:rsidRPr="00B13A79" w:rsidRDefault="0037667F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43667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0875C" w14:textId="77777777" w:rsidR="0037667F" w:rsidRPr="00016F1C" w:rsidRDefault="0037667F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7636CCB3" w:rsidR="0037667F" w:rsidRPr="00B13A79" w:rsidRDefault="0037667F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43667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37667F" w:rsidRPr="00570367" w:rsidRDefault="0037667F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502AC" w14:textId="77777777" w:rsidR="00162D91" w:rsidRDefault="00162D91" w:rsidP="00297396">
      <w:pPr>
        <w:spacing w:after="0" w:line="240" w:lineRule="auto"/>
      </w:pPr>
      <w:r>
        <w:separator/>
      </w:r>
    </w:p>
  </w:footnote>
  <w:footnote w:type="continuationSeparator" w:id="0">
    <w:p w14:paraId="2AB01B24" w14:textId="77777777" w:rsidR="00162D91" w:rsidRDefault="00162D91" w:rsidP="00297396">
      <w:pPr>
        <w:spacing w:after="0" w:line="240" w:lineRule="auto"/>
      </w:pPr>
      <w:r>
        <w:continuationSeparator/>
      </w:r>
    </w:p>
  </w:footnote>
  <w:footnote w:type="continuationNotice" w:id="1">
    <w:p w14:paraId="512D9994" w14:textId="77777777" w:rsidR="00162D91" w:rsidRDefault="00162D91">
      <w:pPr>
        <w:spacing w:after="0" w:line="240" w:lineRule="auto"/>
      </w:pPr>
    </w:p>
  </w:footnote>
  <w:footnote w:id="2">
    <w:p w14:paraId="6BBEF93C" w14:textId="109A2203" w:rsidR="0037667F" w:rsidRPr="00221DA9" w:rsidRDefault="0037667F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3">
    <w:p w14:paraId="6F71AA57" w14:textId="3F0F083D" w:rsidR="0037667F" w:rsidRPr="00221DA9" w:rsidRDefault="0037667F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4">
    <w:p w14:paraId="205457CD" w14:textId="71527B4C" w:rsidR="0037667F" w:rsidRDefault="0037667F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5">
    <w:p w14:paraId="487CAD87" w14:textId="4D8162FB" w:rsidR="0037667F" w:rsidRDefault="0037667F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ŽoP</w:t>
      </w:r>
      <w:r>
        <w:rPr>
          <w:rStyle w:val="Odkaznapoznmkupodiarou"/>
          <w:rFonts w:ascii="Arial Narrow" w:hAnsi="Arial Narrow"/>
          <w:sz w:val="18"/>
          <w:vertAlign w:val="baseline"/>
        </w:rPr>
        <w:t>r</w:t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1DF2" w14:textId="77777777" w:rsidR="0037667F" w:rsidRPr="00627EA3" w:rsidRDefault="0037667F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BF52" w14:textId="495238F4" w:rsidR="0037667F" w:rsidRPr="001F013A" w:rsidRDefault="0037667F" w:rsidP="000F2DA9">
    <w:pPr>
      <w:pStyle w:val="Hlavika"/>
      <w:rPr>
        <w:rFonts w:ascii="Arial Narrow" w:hAnsi="Arial Narrow"/>
        <w:sz w:val="20"/>
      </w:rPr>
    </w:pPr>
    <w:r>
      <w:rPr>
        <w:noProof/>
        <w:color w:val="000000"/>
        <w:lang w:eastAsia="sk-SK"/>
      </w:rPr>
      <w:drawing>
        <wp:inline distT="0" distB="0" distL="0" distR="0" wp14:anchorId="725FC64C" wp14:editId="5F4753C2">
          <wp:extent cx="1294381" cy="397464"/>
          <wp:effectExtent l="0" t="0" r="1270" b="317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01" cy="40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anchor distT="0" distB="0" distL="114300" distR="114300" simplePos="0" relativeHeight="251673600" behindDoc="1" locked="0" layoutInCell="1" allowOverlap="1" wp14:anchorId="4146A59A" wp14:editId="2E8EFBB2">
          <wp:simplePos x="0" y="0"/>
          <wp:positionH relativeFrom="column">
            <wp:posOffset>2374900</wp:posOffset>
          </wp:positionH>
          <wp:positionV relativeFrom="paragraph">
            <wp:posOffset>-79375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44EDCEE8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7761F717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24D9AAFD" w:rsidR="0037667F" w:rsidRDefault="0037667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F263" w14:textId="3BC5A9C0" w:rsidR="0037667F" w:rsidRDefault="0037667F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257C" w14:textId="0864E05D" w:rsidR="0037667F" w:rsidRDefault="0037667F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305AD8"/>
    <w:multiLevelType w:val="hybridMultilevel"/>
    <w:tmpl w:val="D77C3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0981"/>
    <w:multiLevelType w:val="hybridMultilevel"/>
    <w:tmpl w:val="A1966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3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5"/>
  </w:num>
  <w:num w:numId="6">
    <w:abstractNumId w:val="22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4"/>
  </w:num>
  <w:num w:numId="12">
    <w:abstractNumId w:val="9"/>
  </w:num>
  <w:num w:numId="13">
    <w:abstractNumId w:val="3"/>
  </w:num>
  <w:num w:numId="14">
    <w:abstractNumId w:val="27"/>
  </w:num>
  <w:num w:numId="15">
    <w:abstractNumId w:val="20"/>
  </w:num>
  <w:num w:numId="16">
    <w:abstractNumId w:val="6"/>
  </w:num>
  <w:num w:numId="17">
    <w:abstractNumId w:val="11"/>
  </w:num>
  <w:num w:numId="18">
    <w:abstractNumId w:val="19"/>
  </w:num>
  <w:num w:numId="19">
    <w:abstractNumId w:val="26"/>
  </w:num>
  <w:num w:numId="20">
    <w:abstractNumId w:val="23"/>
  </w:num>
  <w:num w:numId="21">
    <w:abstractNumId w:val="15"/>
  </w:num>
  <w:num w:numId="22">
    <w:abstractNumId w:val="2"/>
  </w:num>
  <w:num w:numId="23">
    <w:abstractNumId w:val="12"/>
  </w:num>
  <w:num w:numId="24">
    <w:abstractNumId w:val="28"/>
  </w:num>
  <w:num w:numId="25">
    <w:abstractNumId w:val="24"/>
  </w:num>
  <w:num w:numId="26">
    <w:abstractNumId w:val="18"/>
  </w:num>
  <w:num w:numId="27">
    <w:abstractNumId w:val="13"/>
  </w:num>
  <w:num w:numId="28">
    <w:abstractNumId w:val="8"/>
  </w:num>
  <w:num w:numId="29">
    <w:abstractNumId w:val="5"/>
  </w:num>
  <w:num w:numId="30">
    <w:abstractNumId w:val="17"/>
  </w:num>
  <w:num w:numId="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05F"/>
    <w:rsid w:val="00007732"/>
    <w:rsid w:val="00016F1C"/>
    <w:rsid w:val="00020171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0384"/>
    <w:rsid w:val="000719AA"/>
    <w:rsid w:val="000722EB"/>
    <w:rsid w:val="000742E6"/>
    <w:rsid w:val="000754E4"/>
    <w:rsid w:val="00076890"/>
    <w:rsid w:val="00076FC2"/>
    <w:rsid w:val="0007746C"/>
    <w:rsid w:val="00080112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BFE"/>
    <w:rsid w:val="000B6C24"/>
    <w:rsid w:val="000B76B3"/>
    <w:rsid w:val="000C0D6B"/>
    <w:rsid w:val="000C167A"/>
    <w:rsid w:val="000C1A57"/>
    <w:rsid w:val="000C3731"/>
    <w:rsid w:val="000C39A9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37F7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07015"/>
    <w:rsid w:val="00110AFB"/>
    <w:rsid w:val="00110BC2"/>
    <w:rsid w:val="0011220E"/>
    <w:rsid w:val="001129CC"/>
    <w:rsid w:val="0011342E"/>
    <w:rsid w:val="001135A5"/>
    <w:rsid w:val="00113D4F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3667"/>
    <w:rsid w:val="001446DB"/>
    <w:rsid w:val="00146262"/>
    <w:rsid w:val="00147F18"/>
    <w:rsid w:val="001500D4"/>
    <w:rsid w:val="00150166"/>
    <w:rsid w:val="00151D61"/>
    <w:rsid w:val="001537EB"/>
    <w:rsid w:val="001563F7"/>
    <w:rsid w:val="001600C5"/>
    <w:rsid w:val="0016073A"/>
    <w:rsid w:val="00161E6D"/>
    <w:rsid w:val="001625CF"/>
    <w:rsid w:val="00162D91"/>
    <w:rsid w:val="00163B71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47B1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3BAC"/>
    <w:rsid w:val="001C4CA9"/>
    <w:rsid w:val="001C645B"/>
    <w:rsid w:val="001D4A9B"/>
    <w:rsid w:val="001D7A67"/>
    <w:rsid w:val="001E2C9A"/>
    <w:rsid w:val="001F0635"/>
    <w:rsid w:val="001F0E97"/>
    <w:rsid w:val="001F63D9"/>
    <w:rsid w:val="0020163F"/>
    <w:rsid w:val="0020190C"/>
    <w:rsid w:val="00201C47"/>
    <w:rsid w:val="00201F91"/>
    <w:rsid w:val="002023EE"/>
    <w:rsid w:val="002041E5"/>
    <w:rsid w:val="00204701"/>
    <w:rsid w:val="00204EA5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16E7C"/>
    <w:rsid w:val="00321368"/>
    <w:rsid w:val="003213BB"/>
    <w:rsid w:val="00322529"/>
    <w:rsid w:val="003226DF"/>
    <w:rsid w:val="0032481B"/>
    <w:rsid w:val="003256B5"/>
    <w:rsid w:val="00326D1D"/>
    <w:rsid w:val="00331E1B"/>
    <w:rsid w:val="00335488"/>
    <w:rsid w:val="0033688D"/>
    <w:rsid w:val="0033719C"/>
    <w:rsid w:val="00340992"/>
    <w:rsid w:val="00340A15"/>
    <w:rsid w:val="00340D3A"/>
    <w:rsid w:val="00343B78"/>
    <w:rsid w:val="00343EA2"/>
    <w:rsid w:val="00343F2B"/>
    <w:rsid w:val="00344429"/>
    <w:rsid w:val="00344F28"/>
    <w:rsid w:val="003455B4"/>
    <w:rsid w:val="00346F2F"/>
    <w:rsid w:val="00347D56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67F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6853"/>
    <w:rsid w:val="003879C1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3C6A"/>
    <w:rsid w:val="003A4ADE"/>
    <w:rsid w:val="003A5C98"/>
    <w:rsid w:val="003A5E2A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50E"/>
    <w:rsid w:val="00402A70"/>
    <w:rsid w:val="0040496B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281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1C2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28E9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5EE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5697E"/>
    <w:rsid w:val="00563456"/>
    <w:rsid w:val="00563B37"/>
    <w:rsid w:val="00566CDE"/>
    <w:rsid w:val="00567670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0BB3"/>
    <w:rsid w:val="005C135C"/>
    <w:rsid w:val="005C2A37"/>
    <w:rsid w:val="005C3BF1"/>
    <w:rsid w:val="005C4E94"/>
    <w:rsid w:val="005C634F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0C1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1070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AD0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2FF2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10F5"/>
    <w:rsid w:val="00746E60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00F"/>
    <w:rsid w:val="00791579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1E56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493D"/>
    <w:rsid w:val="007E6496"/>
    <w:rsid w:val="007F0085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079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95D5B"/>
    <w:rsid w:val="008A0977"/>
    <w:rsid w:val="008A1293"/>
    <w:rsid w:val="008A28ED"/>
    <w:rsid w:val="008A293F"/>
    <w:rsid w:val="008A2FD8"/>
    <w:rsid w:val="008A3263"/>
    <w:rsid w:val="008A594C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1A41"/>
    <w:rsid w:val="009722BD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07C3"/>
    <w:rsid w:val="00A150C6"/>
    <w:rsid w:val="00A154A6"/>
    <w:rsid w:val="00A15580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53A"/>
    <w:rsid w:val="00A5263E"/>
    <w:rsid w:val="00A527BC"/>
    <w:rsid w:val="00A54518"/>
    <w:rsid w:val="00A56BEC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293E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6F63"/>
    <w:rsid w:val="00AB73E6"/>
    <w:rsid w:val="00AC4A1D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2EE3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30D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2C2C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5D1C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453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2B58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153F"/>
    <w:rsid w:val="00C9274C"/>
    <w:rsid w:val="00C9322A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C788D"/>
    <w:rsid w:val="00CD0FA6"/>
    <w:rsid w:val="00CD4ABE"/>
    <w:rsid w:val="00CD6015"/>
    <w:rsid w:val="00CD6E91"/>
    <w:rsid w:val="00CD7E0C"/>
    <w:rsid w:val="00CE155D"/>
    <w:rsid w:val="00CE28B6"/>
    <w:rsid w:val="00CE2FED"/>
    <w:rsid w:val="00CE3A19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0BAB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65A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0609C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D7925"/>
    <w:rsid w:val="00EE0CBE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184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760E3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A5E41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0862D5"/>
    <w:rsid w:val="00086F23"/>
    <w:rsid w:val="000A4C07"/>
    <w:rsid w:val="00147404"/>
    <w:rsid w:val="0015687B"/>
    <w:rsid w:val="001F721C"/>
    <w:rsid w:val="0031009D"/>
    <w:rsid w:val="00370346"/>
    <w:rsid w:val="003B20BC"/>
    <w:rsid w:val="003C4D1D"/>
    <w:rsid w:val="00416306"/>
    <w:rsid w:val="00417961"/>
    <w:rsid w:val="0046276E"/>
    <w:rsid w:val="0050057B"/>
    <w:rsid w:val="00503470"/>
    <w:rsid w:val="00506C57"/>
    <w:rsid w:val="00514765"/>
    <w:rsid w:val="00517339"/>
    <w:rsid w:val="00580E5E"/>
    <w:rsid w:val="00592130"/>
    <w:rsid w:val="005A698A"/>
    <w:rsid w:val="006845DE"/>
    <w:rsid w:val="007B0225"/>
    <w:rsid w:val="00803F6C"/>
    <w:rsid w:val="008A5F9C"/>
    <w:rsid w:val="008F0B6E"/>
    <w:rsid w:val="009400AE"/>
    <w:rsid w:val="00947A88"/>
    <w:rsid w:val="00963E5F"/>
    <w:rsid w:val="00966EEE"/>
    <w:rsid w:val="00976238"/>
    <w:rsid w:val="009B4DB2"/>
    <w:rsid w:val="009C3CCC"/>
    <w:rsid w:val="00A118B3"/>
    <w:rsid w:val="00A15D86"/>
    <w:rsid w:val="00B21DAE"/>
    <w:rsid w:val="00BE51E0"/>
    <w:rsid w:val="00CE79F2"/>
    <w:rsid w:val="00D5420E"/>
    <w:rsid w:val="00D659EE"/>
    <w:rsid w:val="00E426B2"/>
    <w:rsid w:val="00E4685B"/>
    <w:rsid w:val="00E622AD"/>
    <w:rsid w:val="00EB2E49"/>
    <w:rsid w:val="00EF3E39"/>
    <w:rsid w:val="00F23F7A"/>
    <w:rsid w:val="00F40C69"/>
    <w:rsid w:val="00F70B43"/>
    <w:rsid w:val="00FB0B8E"/>
    <w:rsid w:val="00FD1002"/>
    <w:rsid w:val="00FD6CA0"/>
    <w:rsid w:val="00FD6FA9"/>
    <w:rsid w:val="00FE1D60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8F9B-A3D8-472B-A6C0-979F7175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2021-02-08T14:20:00Z</dcterms:created>
  <dcterms:modified xsi:type="dcterms:W3CDTF">2021-02-18T12:58:00Z</dcterms:modified>
</cp:coreProperties>
</file>